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ED" w:rsidRDefault="00085EED" w:rsidP="00085EED">
      <w:pPr>
        <w:spacing w:line="312" w:lineRule="auto"/>
        <w:ind w:firstLine="708"/>
        <w:contextualSpacing/>
        <w:jc w:val="right"/>
        <w:rPr>
          <w:b/>
        </w:rPr>
      </w:pPr>
      <w:r w:rsidRPr="00841E1A">
        <w:rPr>
          <w:b/>
        </w:rPr>
        <w:t>Приложение 2</w:t>
      </w:r>
    </w:p>
    <w:p w:rsidR="006C5B99" w:rsidRPr="00841E1A" w:rsidRDefault="006C5B99" w:rsidP="00085EED">
      <w:pPr>
        <w:spacing w:line="312" w:lineRule="auto"/>
        <w:ind w:firstLine="708"/>
        <w:contextualSpacing/>
        <w:jc w:val="right"/>
        <w:rPr>
          <w:b/>
        </w:rPr>
      </w:pPr>
    </w:p>
    <w:p w:rsidR="00085EED" w:rsidRPr="00841E1A" w:rsidRDefault="00085EED" w:rsidP="00085EED">
      <w:pPr>
        <w:spacing w:line="312" w:lineRule="auto"/>
        <w:ind w:firstLine="708"/>
        <w:contextualSpacing/>
        <w:jc w:val="center"/>
        <w:rPr>
          <w:b/>
        </w:rPr>
      </w:pPr>
      <w:r w:rsidRPr="00841E1A">
        <w:rPr>
          <w:b/>
        </w:rPr>
        <w:t xml:space="preserve">Инструкция участникам процедуры закупки </w:t>
      </w:r>
    </w:p>
    <w:p w:rsidR="00085EED" w:rsidRPr="00841E1A" w:rsidRDefault="00085EED" w:rsidP="00085EED">
      <w:pPr>
        <w:spacing w:line="312" w:lineRule="auto"/>
        <w:ind w:firstLine="708"/>
        <w:contextualSpacing/>
        <w:jc w:val="center"/>
        <w:rPr>
          <w:b/>
        </w:rPr>
      </w:pPr>
    </w:p>
    <w:p w:rsidR="00085EED" w:rsidRPr="00841E1A" w:rsidRDefault="00085EED" w:rsidP="00085EED">
      <w:pPr>
        <w:spacing w:line="312" w:lineRule="auto"/>
        <w:ind w:firstLine="708"/>
        <w:contextualSpacing/>
        <w:jc w:val="center"/>
        <w:rPr>
          <w:b/>
          <w:color w:val="000000" w:themeColor="text1"/>
        </w:rPr>
      </w:pPr>
    </w:p>
    <w:p w:rsidR="00085EED" w:rsidRPr="00841E1A" w:rsidRDefault="00085EED" w:rsidP="00085EED">
      <w:pPr>
        <w:spacing w:line="312" w:lineRule="auto"/>
        <w:ind w:firstLine="708"/>
        <w:contextualSpacing/>
        <w:jc w:val="both"/>
        <w:rPr>
          <w:color w:val="000000" w:themeColor="text1"/>
        </w:rPr>
      </w:pPr>
      <w:r w:rsidRPr="00841E1A">
        <w:rPr>
          <w:color w:val="000000" w:themeColor="text1"/>
        </w:rPr>
        <w:t>Требование к содержанию и форме ТКП:</w:t>
      </w:r>
    </w:p>
    <w:p w:rsidR="00085EED" w:rsidRPr="00841E1A" w:rsidRDefault="00085EED" w:rsidP="00085EED">
      <w:pPr>
        <w:spacing w:line="312" w:lineRule="auto"/>
        <w:ind w:firstLine="708"/>
        <w:contextualSpacing/>
        <w:jc w:val="both"/>
        <w:rPr>
          <w:b/>
          <w:color w:val="000000" w:themeColor="text1"/>
        </w:rPr>
      </w:pPr>
    </w:p>
    <w:p w:rsidR="00085EED" w:rsidRPr="00841E1A" w:rsidRDefault="00085EED" w:rsidP="00085EED">
      <w:pPr>
        <w:spacing w:line="312" w:lineRule="auto"/>
        <w:ind w:firstLine="708"/>
        <w:contextualSpacing/>
        <w:jc w:val="both"/>
        <w:rPr>
          <w:color w:val="000000" w:themeColor="text1"/>
        </w:rPr>
      </w:pPr>
      <w:r w:rsidRPr="00841E1A">
        <w:rPr>
          <w:b/>
          <w:color w:val="000000" w:themeColor="text1"/>
          <w:u w:val="single"/>
        </w:rPr>
        <w:t>Техническая часть</w:t>
      </w:r>
      <w:r w:rsidRPr="00841E1A">
        <w:rPr>
          <w:color w:val="000000" w:themeColor="text1"/>
        </w:rPr>
        <w:t xml:space="preserve"> предложения (техническое описание, документы участника, </w:t>
      </w:r>
      <w:proofErr w:type="spellStart"/>
      <w:r w:rsidRPr="00841E1A">
        <w:rPr>
          <w:color w:val="000000" w:themeColor="text1"/>
        </w:rPr>
        <w:t>референс</w:t>
      </w:r>
      <w:proofErr w:type="spellEnd"/>
      <w:r w:rsidRPr="00841E1A">
        <w:rPr>
          <w:color w:val="000000" w:themeColor="text1"/>
        </w:rPr>
        <w:t xml:space="preserve">-лист, и т.д.) – направить, в виде электронного письма на адрес: </w:t>
      </w:r>
      <w:hyperlink r:id="rId8" w:history="1">
        <w:r w:rsidRPr="00841E1A">
          <w:rPr>
            <w:rStyle w:val="a9"/>
            <w:lang w:val="en-US"/>
          </w:rPr>
          <w:t>tenders</w:t>
        </w:r>
        <w:r w:rsidRPr="00841E1A">
          <w:rPr>
            <w:rStyle w:val="a9"/>
          </w:rPr>
          <w:t>@</w:t>
        </w:r>
        <w:proofErr w:type="spellStart"/>
        <w:r w:rsidRPr="00841E1A">
          <w:rPr>
            <w:rStyle w:val="a9"/>
            <w:lang w:val="en-US"/>
          </w:rPr>
          <w:t>avelar</w:t>
        </w:r>
        <w:proofErr w:type="spellEnd"/>
        <w:r w:rsidRPr="00841E1A">
          <w:rPr>
            <w:rStyle w:val="a9"/>
          </w:rPr>
          <w:t>-</w:t>
        </w:r>
        <w:r w:rsidRPr="00841E1A">
          <w:rPr>
            <w:rStyle w:val="a9"/>
            <w:lang w:val="en-US"/>
          </w:rPr>
          <w:t>solar</w:t>
        </w:r>
        <w:r w:rsidRPr="00841E1A">
          <w:rPr>
            <w:rStyle w:val="a9"/>
          </w:rPr>
          <w:t>.</w:t>
        </w:r>
        <w:r w:rsidRPr="00841E1A">
          <w:rPr>
            <w:rStyle w:val="a9"/>
            <w:lang w:val="en-US"/>
          </w:rPr>
          <w:t>com</w:t>
        </w:r>
      </w:hyperlink>
      <w:r w:rsidRPr="00841E1A">
        <w:rPr>
          <w:color w:val="000000" w:themeColor="text1"/>
        </w:rPr>
        <w:t xml:space="preserve"> (Размер письма не должен превышать 9 Мбайт, при необходимости направлять несколькими письмами. В теме письма указать «Техническое предложение </w:t>
      </w:r>
      <w:r w:rsidR="005E6E0E">
        <w:t xml:space="preserve">на </w:t>
      </w:r>
      <w:r w:rsidR="00280587">
        <w:t>разработку</w:t>
      </w:r>
      <w:r w:rsidR="0021635A">
        <w:t xml:space="preserve"> СВМ (проекты в Республике Казахстан)</w:t>
      </w:r>
      <w:r w:rsidRPr="00841E1A">
        <w:rPr>
          <w:color w:val="000000" w:themeColor="text1"/>
        </w:rPr>
        <w:t>;</w:t>
      </w:r>
    </w:p>
    <w:p w:rsidR="00085EED" w:rsidRPr="00841E1A" w:rsidRDefault="00085EED" w:rsidP="00085EED">
      <w:pPr>
        <w:spacing w:line="312" w:lineRule="auto"/>
        <w:ind w:firstLine="708"/>
        <w:contextualSpacing/>
        <w:jc w:val="both"/>
        <w:rPr>
          <w:color w:val="000000" w:themeColor="text1"/>
        </w:rPr>
      </w:pPr>
    </w:p>
    <w:p w:rsidR="00085EED" w:rsidRPr="00841E1A" w:rsidRDefault="00085EED" w:rsidP="00085EED">
      <w:pPr>
        <w:spacing w:line="312" w:lineRule="auto"/>
        <w:ind w:firstLine="708"/>
        <w:contextualSpacing/>
        <w:jc w:val="both"/>
        <w:rPr>
          <w:color w:val="000000" w:themeColor="text1"/>
        </w:rPr>
      </w:pPr>
      <w:r w:rsidRPr="00841E1A">
        <w:rPr>
          <w:b/>
          <w:color w:val="000000" w:themeColor="text1"/>
          <w:u w:val="single"/>
        </w:rPr>
        <w:t>Коммерческую часть</w:t>
      </w:r>
      <w:r w:rsidRPr="00841E1A">
        <w:rPr>
          <w:color w:val="000000" w:themeColor="text1"/>
        </w:rPr>
        <w:t xml:space="preserve"> предложения (по приложенной форме, должна содержать всю необходимую информацию, включая стоимость, срок </w:t>
      </w:r>
      <w:r>
        <w:rPr>
          <w:color w:val="000000" w:themeColor="text1"/>
        </w:rPr>
        <w:t>проведения работ</w:t>
      </w:r>
      <w:r w:rsidRPr="00841E1A">
        <w:rPr>
          <w:color w:val="000000" w:themeColor="text1"/>
        </w:rPr>
        <w:t xml:space="preserve">, условия оплаты и т.п.) – направить, в виде электронного письма на адрес: </w:t>
      </w:r>
      <w:hyperlink r:id="rId9" w:history="1">
        <w:r w:rsidRPr="00841E1A">
          <w:rPr>
            <w:rStyle w:val="a9"/>
            <w:lang w:val="en-US"/>
          </w:rPr>
          <w:t>tenders</w:t>
        </w:r>
        <w:r w:rsidRPr="00841E1A">
          <w:rPr>
            <w:rStyle w:val="a9"/>
          </w:rPr>
          <w:t>@</w:t>
        </w:r>
        <w:proofErr w:type="spellStart"/>
        <w:r w:rsidRPr="00841E1A">
          <w:rPr>
            <w:rStyle w:val="a9"/>
            <w:lang w:val="en-US"/>
          </w:rPr>
          <w:t>avelar</w:t>
        </w:r>
        <w:proofErr w:type="spellEnd"/>
        <w:r w:rsidRPr="00841E1A">
          <w:rPr>
            <w:rStyle w:val="a9"/>
          </w:rPr>
          <w:t>-</w:t>
        </w:r>
        <w:r w:rsidRPr="00841E1A">
          <w:rPr>
            <w:rStyle w:val="a9"/>
            <w:lang w:val="en-US"/>
          </w:rPr>
          <w:t>solar</w:t>
        </w:r>
        <w:r w:rsidRPr="00841E1A">
          <w:rPr>
            <w:rStyle w:val="a9"/>
          </w:rPr>
          <w:t>.</w:t>
        </w:r>
        <w:r w:rsidRPr="00841E1A">
          <w:rPr>
            <w:rStyle w:val="a9"/>
            <w:lang w:val="en-US"/>
          </w:rPr>
          <w:t>com</w:t>
        </w:r>
      </w:hyperlink>
      <w:r w:rsidRPr="00841E1A">
        <w:rPr>
          <w:color w:val="000000" w:themeColor="text1"/>
        </w:rPr>
        <w:t xml:space="preserve"> (Размер письма не должен превышать 9 Мбайт, при необходимости направлять несколькими письмами. В теме письма указать «Коммерческое предложение </w:t>
      </w:r>
      <w:r w:rsidR="00266D87">
        <w:t xml:space="preserve">на </w:t>
      </w:r>
      <w:r w:rsidR="00280587">
        <w:t>разработку</w:t>
      </w:r>
      <w:bookmarkStart w:id="0" w:name="_GoBack"/>
      <w:bookmarkEnd w:id="0"/>
      <w:r w:rsidR="00266D87">
        <w:t xml:space="preserve"> СВМ (проекты в Республике Казахстан</w:t>
      </w:r>
      <w:r w:rsidRPr="00841E1A">
        <w:rPr>
          <w:color w:val="000000" w:themeColor="text1"/>
        </w:rPr>
        <w:t>);</w:t>
      </w:r>
    </w:p>
    <w:p w:rsidR="00085EED" w:rsidRPr="00841E1A" w:rsidRDefault="00085EED" w:rsidP="00085EED">
      <w:pPr>
        <w:spacing w:line="312" w:lineRule="auto"/>
        <w:ind w:firstLine="708"/>
        <w:contextualSpacing/>
        <w:jc w:val="both"/>
        <w:rPr>
          <w:b/>
          <w:color w:val="000000" w:themeColor="text1"/>
        </w:rPr>
      </w:pPr>
      <w:r w:rsidRPr="00841E1A">
        <w:rPr>
          <w:color w:val="000000" w:themeColor="text1"/>
        </w:rPr>
        <w:t>Указанные документы должны быть подготовлены в соответствии с приложенными формами и оформлены надлежащим образом (с подписью и печатью уполномоченного лица).</w:t>
      </w:r>
    </w:p>
    <w:p w:rsidR="00085EED" w:rsidRPr="00841E1A" w:rsidRDefault="00085EED" w:rsidP="00085EED">
      <w:pPr>
        <w:spacing w:line="312" w:lineRule="auto"/>
        <w:ind w:firstLine="708"/>
        <w:contextualSpacing/>
        <w:jc w:val="both"/>
        <w:rPr>
          <w:color w:val="000000" w:themeColor="text1"/>
        </w:rPr>
      </w:pPr>
    </w:p>
    <w:p w:rsidR="00085EED" w:rsidRDefault="00085EED" w:rsidP="00085EED">
      <w:pPr>
        <w:pStyle w:val="21"/>
        <w:keepNext/>
        <w:keepLines/>
        <w:shd w:val="clear" w:color="auto" w:fill="auto"/>
        <w:spacing w:before="0" w:after="0" w:line="240" w:lineRule="auto"/>
        <w:ind w:left="284" w:firstLine="465"/>
        <w:jc w:val="both"/>
        <w:rPr>
          <w:rFonts w:ascii="Times New Roman" w:hAnsi="Times New Roman" w:cs="Times New Roman"/>
          <w:b/>
          <w:sz w:val="24"/>
          <w:szCs w:val="24"/>
        </w:rPr>
      </w:pPr>
      <w:bookmarkStart w:id="1" w:name="bookmark2"/>
      <w:r w:rsidRPr="00841E1A">
        <w:rPr>
          <w:rFonts w:ascii="Times New Roman" w:hAnsi="Times New Roman" w:cs="Times New Roman"/>
          <w:b/>
          <w:sz w:val="24"/>
          <w:szCs w:val="24"/>
        </w:rPr>
        <w:t>Основные правила проведения процедуры:</w:t>
      </w:r>
      <w:bookmarkEnd w:id="1"/>
    </w:p>
    <w:p w:rsidR="00085EED" w:rsidRPr="00841E1A" w:rsidRDefault="00085EED" w:rsidP="00085EED">
      <w:pPr>
        <w:pStyle w:val="21"/>
        <w:keepNext/>
        <w:keepLines/>
        <w:shd w:val="clear" w:color="auto" w:fill="auto"/>
        <w:spacing w:before="0" w:after="0" w:line="240" w:lineRule="auto"/>
        <w:ind w:left="284" w:firstLine="465"/>
        <w:jc w:val="both"/>
        <w:rPr>
          <w:rFonts w:ascii="Times New Roman" w:eastAsia="Times New Roman" w:hAnsi="Times New Roman" w:cs="Times New Roman"/>
          <w:b/>
          <w:sz w:val="24"/>
          <w:szCs w:val="24"/>
        </w:rPr>
      </w:pPr>
    </w:p>
    <w:p w:rsidR="00085EED" w:rsidRPr="00841E1A" w:rsidRDefault="00085EED" w:rsidP="00085EED">
      <w:pPr>
        <w:pStyle w:val="2"/>
        <w:shd w:val="clear" w:color="auto" w:fill="auto"/>
        <w:spacing w:before="0" w:after="0" w:line="240" w:lineRule="auto"/>
        <w:ind w:left="284" w:right="40" w:firstLine="500"/>
        <w:jc w:val="both"/>
        <w:rPr>
          <w:rFonts w:ascii="Times New Roman" w:hAnsi="Times New Roman" w:cs="Times New Roman"/>
          <w:sz w:val="24"/>
          <w:szCs w:val="24"/>
        </w:rPr>
      </w:pPr>
      <w:r w:rsidRPr="00841E1A">
        <w:rPr>
          <w:rFonts w:ascii="Times New Roman" w:hAnsi="Times New Roman" w:cs="Times New Roman"/>
          <w:sz w:val="24"/>
          <w:szCs w:val="24"/>
        </w:rPr>
        <w:t xml:space="preserve">Предложения, поступившие после установленного срока сбора ТКП, рассмотрены не будут. Предложения, не оформленные надлежащим образом и/или не содержащие полного комплекта документов в соответствии с настоящим предложением, также могут быть не рассмотрены. </w:t>
      </w:r>
    </w:p>
    <w:p w:rsidR="00085EED" w:rsidRPr="00841E1A" w:rsidRDefault="00085EED" w:rsidP="00085EED">
      <w:pPr>
        <w:pStyle w:val="2"/>
        <w:shd w:val="clear" w:color="auto" w:fill="auto"/>
        <w:spacing w:before="0" w:after="0" w:line="240" w:lineRule="auto"/>
        <w:ind w:left="284" w:right="60" w:firstLine="480"/>
        <w:jc w:val="both"/>
        <w:rPr>
          <w:rFonts w:ascii="Times New Roman" w:hAnsi="Times New Roman" w:cs="Times New Roman"/>
          <w:sz w:val="24"/>
          <w:szCs w:val="24"/>
        </w:rPr>
      </w:pPr>
      <w:bookmarkStart w:id="2" w:name="bookmark3"/>
      <w:r w:rsidRPr="00841E1A">
        <w:rPr>
          <w:rFonts w:ascii="Times New Roman" w:hAnsi="Times New Roman" w:cs="Times New Roman"/>
          <w:sz w:val="24"/>
          <w:szCs w:val="24"/>
        </w:rPr>
        <w:t>Данная закупочная процедура является установленной Компанией процедурой выбора лица (юридического лица или индивидуального предпринимателя) - победителя, для ведения с ним переговоров по согласованию существенных и иных условий договора соответствующего вида в целях последующего заключения договора.</w:t>
      </w:r>
    </w:p>
    <w:p w:rsidR="00085EED" w:rsidRPr="00841E1A" w:rsidRDefault="00085EED" w:rsidP="00085EED">
      <w:pPr>
        <w:pStyle w:val="2"/>
        <w:shd w:val="clear" w:color="auto" w:fill="auto"/>
        <w:spacing w:before="0" w:after="0" w:line="240" w:lineRule="auto"/>
        <w:ind w:left="284" w:right="60" w:firstLine="480"/>
        <w:jc w:val="both"/>
        <w:rPr>
          <w:rFonts w:ascii="Times New Roman" w:hAnsi="Times New Roman" w:cs="Times New Roman"/>
          <w:sz w:val="24"/>
          <w:szCs w:val="24"/>
        </w:rPr>
      </w:pPr>
      <w:r w:rsidRPr="00841E1A">
        <w:rPr>
          <w:rFonts w:ascii="Times New Roman" w:hAnsi="Times New Roman" w:cs="Times New Roman"/>
          <w:sz w:val="24"/>
          <w:szCs w:val="24"/>
        </w:rPr>
        <w:t xml:space="preserve">Закупочные процедуры не являются торгами, их проведение не регулируется статьями 447 - 449 Гражданского кодекса РФ. Данные процедуры так же не являются публичным конкурсом и не регулируются статьями 1057 - 1061 Гражданского кодекса РФ, что не накладывает на Компанию соответствующего объема гражданско-правовых обязательств по обязательному заключению договора с победителем закупочной процедуры или иным ее Участником. Участник процедуры за свой счет несет все расходы, связанные с подготовкой и подачей необходимых документов на участие. Компания не имеет обязательств по возмещению участникам тендера понесенных ими расходов и любых других издержек, связанных с подготовкой к участию и участием в тендере (реального ущерба), и упущенной выгоды независимо от результатов процедуры. </w:t>
      </w:r>
    </w:p>
    <w:p w:rsidR="00085EED" w:rsidRPr="00841E1A" w:rsidRDefault="00085EED" w:rsidP="00085EED">
      <w:pPr>
        <w:pStyle w:val="2"/>
        <w:shd w:val="clear" w:color="auto" w:fill="auto"/>
        <w:spacing w:before="0" w:after="0" w:line="240" w:lineRule="auto"/>
        <w:ind w:left="284" w:right="60" w:firstLine="480"/>
        <w:jc w:val="both"/>
        <w:rPr>
          <w:rFonts w:ascii="Times New Roman" w:hAnsi="Times New Roman" w:cs="Times New Roman"/>
          <w:sz w:val="24"/>
          <w:szCs w:val="24"/>
        </w:rPr>
      </w:pPr>
      <w:r w:rsidRPr="00841E1A">
        <w:rPr>
          <w:rFonts w:ascii="Times New Roman" w:hAnsi="Times New Roman" w:cs="Times New Roman"/>
          <w:sz w:val="24"/>
          <w:szCs w:val="24"/>
        </w:rPr>
        <w:t>Победитель процедуры за свой счет несет все расходы, связанные с проведением переговоров с Компанией по согласованию существенных и иных условий договора соответствующего вида, а Компания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p w:rsidR="00085EED" w:rsidRDefault="00085EED" w:rsidP="00085EED">
      <w:pPr>
        <w:pStyle w:val="2"/>
        <w:shd w:val="clear" w:color="auto" w:fill="auto"/>
        <w:spacing w:before="0" w:after="0" w:line="240" w:lineRule="auto"/>
        <w:ind w:left="284" w:right="60" w:firstLine="480"/>
        <w:jc w:val="both"/>
        <w:rPr>
          <w:rFonts w:ascii="Times New Roman" w:hAnsi="Times New Roman" w:cs="Times New Roman"/>
          <w:sz w:val="24"/>
          <w:szCs w:val="24"/>
        </w:rPr>
      </w:pPr>
      <w:r w:rsidRPr="00841E1A">
        <w:rPr>
          <w:rFonts w:ascii="Times New Roman" w:hAnsi="Times New Roman" w:cs="Times New Roman"/>
          <w:sz w:val="24"/>
          <w:szCs w:val="24"/>
        </w:rPr>
        <w:t xml:space="preserve">В случае не достижения соглашения по условиям договора Компания вправе не заключать договор с победителем процедуры. Компания вправе на любом этапе отказаться от проведения </w:t>
      </w:r>
      <w:r w:rsidRPr="00841E1A">
        <w:rPr>
          <w:rFonts w:ascii="Times New Roman" w:hAnsi="Times New Roman" w:cs="Times New Roman"/>
          <w:sz w:val="24"/>
          <w:szCs w:val="24"/>
        </w:rPr>
        <w:lastRenderedPageBreak/>
        <w:t>закупочной процедуры, ведения переговоров и/или заключения договора, направив уведомление об этом участникам или победителю, либо разместив соответствующее сообщение на официальном сайте Компании. При этом Компания не имеет обязательств по возмещению участникам или победителю понесенных ими расходов и любых других издержек (реального ущерба) и упущенной выгоды».</w:t>
      </w:r>
    </w:p>
    <w:p w:rsidR="00085EED" w:rsidRPr="00841E1A" w:rsidRDefault="00085EED" w:rsidP="00085EED">
      <w:pPr>
        <w:pStyle w:val="2"/>
        <w:shd w:val="clear" w:color="auto" w:fill="auto"/>
        <w:spacing w:before="0" w:after="0" w:line="240" w:lineRule="auto"/>
        <w:ind w:left="284" w:right="60" w:firstLine="480"/>
        <w:jc w:val="both"/>
        <w:rPr>
          <w:rFonts w:ascii="Times New Roman" w:hAnsi="Times New Roman" w:cs="Times New Roman"/>
          <w:sz w:val="24"/>
          <w:szCs w:val="24"/>
        </w:rPr>
      </w:pPr>
    </w:p>
    <w:p w:rsidR="00085EED" w:rsidRPr="00841E1A" w:rsidRDefault="00085EED" w:rsidP="00085EED">
      <w:pPr>
        <w:pStyle w:val="2"/>
        <w:shd w:val="clear" w:color="auto" w:fill="auto"/>
        <w:spacing w:before="0" w:after="0" w:line="240" w:lineRule="auto"/>
        <w:ind w:left="284" w:right="60" w:firstLine="480"/>
        <w:jc w:val="both"/>
        <w:rPr>
          <w:rFonts w:ascii="Times New Roman" w:hAnsi="Times New Roman" w:cs="Times New Roman"/>
          <w:sz w:val="24"/>
          <w:szCs w:val="24"/>
        </w:rPr>
      </w:pPr>
      <w:r w:rsidRPr="00841E1A">
        <w:rPr>
          <w:rFonts w:ascii="Times New Roman" w:hAnsi="Times New Roman" w:cs="Times New Roman"/>
          <w:b/>
          <w:sz w:val="24"/>
          <w:szCs w:val="24"/>
        </w:rPr>
        <w:t>Критерии выбора лучшего предложения:</w:t>
      </w:r>
      <w:bookmarkEnd w:id="2"/>
    </w:p>
    <w:p w:rsidR="00085EED" w:rsidRPr="00841E1A" w:rsidRDefault="00085EED" w:rsidP="00085EED">
      <w:pPr>
        <w:pStyle w:val="2"/>
        <w:numPr>
          <w:ilvl w:val="1"/>
          <w:numId w:val="4"/>
        </w:numPr>
        <w:shd w:val="clear" w:color="auto" w:fill="auto"/>
        <w:tabs>
          <w:tab w:val="left" w:pos="851"/>
        </w:tabs>
        <w:spacing w:before="0" w:after="0" w:line="240" w:lineRule="auto"/>
        <w:jc w:val="both"/>
        <w:rPr>
          <w:rFonts w:ascii="Times New Roman" w:hAnsi="Times New Roman" w:cs="Times New Roman"/>
          <w:sz w:val="24"/>
          <w:szCs w:val="24"/>
        </w:rPr>
      </w:pPr>
      <w:r w:rsidRPr="00841E1A">
        <w:rPr>
          <w:rFonts w:ascii="Times New Roman" w:hAnsi="Times New Roman" w:cs="Times New Roman"/>
          <w:sz w:val="24"/>
          <w:szCs w:val="24"/>
        </w:rPr>
        <w:t>Соответствие исходным данным (заявке);</w:t>
      </w:r>
    </w:p>
    <w:p w:rsidR="00085EED" w:rsidRPr="00841E1A" w:rsidRDefault="00085EED" w:rsidP="00085EED">
      <w:pPr>
        <w:pStyle w:val="2"/>
        <w:numPr>
          <w:ilvl w:val="1"/>
          <w:numId w:val="4"/>
        </w:numPr>
        <w:shd w:val="clear" w:color="auto" w:fill="auto"/>
        <w:tabs>
          <w:tab w:val="left" w:pos="851"/>
        </w:tabs>
        <w:spacing w:before="0" w:after="0" w:line="240" w:lineRule="auto"/>
        <w:jc w:val="both"/>
        <w:rPr>
          <w:rFonts w:ascii="Times New Roman" w:hAnsi="Times New Roman" w:cs="Times New Roman"/>
          <w:sz w:val="24"/>
          <w:szCs w:val="24"/>
        </w:rPr>
      </w:pPr>
      <w:r w:rsidRPr="00841E1A">
        <w:rPr>
          <w:rFonts w:ascii="Times New Roman" w:hAnsi="Times New Roman" w:cs="Times New Roman"/>
          <w:sz w:val="24"/>
          <w:szCs w:val="24"/>
        </w:rPr>
        <w:t>Стоимость;</w:t>
      </w:r>
    </w:p>
    <w:p w:rsidR="00085EED" w:rsidRPr="00841E1A" w:rsidRDefault="00085EED" w:rsidP="00085EED">
      <w:pPr>
        <w:pStyle w:val="2"/>
        <w:numPr>
          <w:ilvl w:val="1"/>
          <w:numId w:val="4"/>
        </w:numPr>
        <w:shd w:val="clear" w:color="auto" w:fill="auto"/>
        <w:tabs>
          <w:tab w:val="left" w:pos="851"/>
        </w:tabs>
        <w:spacing w:before="0" w:after="0" w:line="240" w:lineRule="auto"/>
        <w:jc w:val="both"/>
        <w:rPr>
          <w:rFonts w:ascii="Times New Roman" w:hAnsi="Times New Roman" w:cs="Times New Roman"/>
          <w:sz w:val="24"/>
          <w:szCs w:val="24"/>
        </w:rPr>
      </w:pPr>
      <w:r w:rsidRPr="00841E1A">
        <w:rPr>
          <w:rFonts w:ascii="Times New Roman" w:hAnsi="Times New Roman" w:cs="Times New Roman"/>
          <w:sz w:val="24"/>
          <w:szCs w:val="24"/>
        </w:rPr>
        <w:t>Условия оплаты;</w:t>
      </w:r>
    </w:p>
    <w:p w:rsidR="00085EED" w:rsidRPr="00841E1A" w:rsidRDefault="00085EED" w:rsidP="00085EED">
      <w:pPr>
        <w:pStyle w:val="2"/>
        <w:numPr>
          <w:ilvl w:val="1"/>
          <w:numId w:val="4"/>
        </w:numPr>
        <w:shd w:val="clear" w:color="auto" w:fill="auto"/>
        <w:tabs>
          <w:tab w:val="left" w:pos="851"/>
          <w:tab w:val="left" w:pos="916"/>
        </w:tabs>
        <w:spacing w:before="0" w:after="0" w:line="240" w:lineRule="auto"/>
        <w:jc w:val="both"/>
        <w:rPr>
          <w:rFonts w:ascii="Times New Roman" w:hAnsi="Times New Roman" w:cs="Times New Roman"/>
          <w:sz w:val="24"/>
          <w:szCs w:val="24"/>
        </w:rPr>
      </w:pPr>
      <w:r w:rsidRPr="00841E1A">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841E1A">
        <w:rPr>
          <w:rFonts w:ascii="Times New Roman" w:hAnsi="Times New Roman" w:cs="Times New Roman"/>
          <w:sz w:val="24"/>
          <w:szCs w:val="24"/>
        </w:rPr>
        <w:t>;</w:t>
      </w:r>
    </w:p>
    <w:p w:rsidR="00085EED" w:rsidRPr="00841E1A" w:rsidRDefault="00085EED" w:rsidP="00085EED">
      <w:pPr>
        <w:pStyle w:val="2"/>
        <w:numPr>
          <w:ilvl w:val="1"/>
          <w:numId w:val="4"/>
        </w:numPr>
        <w:shd w:val="clear" w:color="auto" w:fill="auto"/>
        <w:tabs>
          <w:tab w:val="left" w:pos="851"/>
          <w:tab w:val="left" w:pos="916"/>
        </w:tabs>
        <w:spacing w:before="0" w:after="0" w:line="240" w:lineRule="auto"/>
        <w:jc w:val="both"/>
        <w:rPr>
          <w:rFonts w:ascii="Times New Roman" w:hAnsi="Times New Roman" w:cs="Times New Roman"/>
          <w:sz w:val="24"/>
          <w:szCs w:val="24"/>
        </w:rPr>
      </w:pPr>
      <w:r w:rsidRPr="00841E1A">
        <w:rPr>
          <w:rFonts w:ascii="Times New Roman" w:hAnsi="Times New Roman" w:cs="Times New Roman"/>
          <w:sz w:val="24"/>
          <w:szCs w:val="24"/>
        </w:rPr>
        <w:t xml:space="preserve">Наличие </w:t>
      </w:r>
      <w:r>
        <w:rPr>
          <w:rFonts w:ascii="Times New Roman" w:hAnsi="Times New Roman" w:cs="Times New Roman"/>
          <w:sz w:val="24"/>
          <w:szCs w:val="24"/>
        </w:rPr>
        <w:t xml:space="preserve">успешного </w:t>
      </w:r>
      <w:r w:rsidRPr="00841E1A">
        <w:rPr>
          <w:rFonts w:ascii="Times New Roman" w:hAnsi="Times New Roman" w:cs="Times New Roman"/>
          <w:sz w:val="24"/>
          <w:szCs w:val="24"/>
        </w:rPr>
        <w:t xml:space="preserve">опыта </w:t>
      </w:r>
      <w:r>
        <w:rPr>
          <w:rFonts w:ascii="Times New Roman" w:hAnsi="Times New Roman" w:cs="Times New Roman"/>
          <w:sz w:val="24"/>
          <w:szCs w:val="24"/>
        </w:rPr>
        <w:t>выполнения аналогичных работ</w:t>
      </w:r>
      <w:r w:rsidRPr="00841E1A">
        <w:rPr>
          <w:rFonts w:ascii="Times New Roman" w:hAnsi="Times New Roman" w:cs="Times New Roman"/>
          <w:sz w:val="24"/>
          <w:szCs w:val="24"/>
        </w:rPr>
        <w:t>.</w:t>
      </w:r>
    </w:p>
    <w:p w:rsidR="00085EED" w:rsidRPr="00841E1A" w:rsidRDefault="00085EED" w:rsidP="00085EED">
      <w:pPr>
        <w:pStyle w:val="30"/>
        <w:keepNext/>
        <w:keepLines/>
        <w:shd w:val="clear" w:color="auto" w:fill="auto"/>
        <w:spacing w:after="26" w:line="240" w:lineRule="auto"/>
        <w:ind w:left="284" w:firstLine="0"/>
        <w:rPr>
          <w:rFonts w:ascii="Times New Roman" w:hAnsi="Times New Roman" w:cs="Times New Roman"/>
          <w:b/>
          <w:sz w:val="24"/>
          <w:szCs w:val="24"/>
        </w:rPr>
      </w:pPr>
      <w:bookmarkStart w:id="3" w:name="bookmark5"/>
    </w:p>
    <w:p w:rsidR="00085EED" w:rsidRPr="00841E1A" w:rsidRDefault="00085EED" w:rsidP="00085EED">
      <w:pPr>
        <w:pStyle w:val="30"/>
        <w:keepNext/>
        <w:keepLines/>
        <w:shd w:val="clear" w:color="auto" w:fill="auto"/>
        <w:spacing w:after="26" w:line="240" w:lineRule="auto"/>
        <w:ind w:left="284" w:firstLine="0"/>
        <w:rPr>
          <w:rFonts w:ascii="Times New Roman" w:hAnsi="Times New Roman" w:cs="Times New Roman"/>
          <w:b/>
          <w:sz w:val="24"/>
          <w:szCs w:val="24"/>
        </w:rPr>
      </w:pPr>
      <w:r w:rsidRPr="00841E1A">
        <w:rPr>
          <w:rFonts w:ascii="Times New Roman" w:hAnsi="Times New Roman" w:cs="Times New Roman"/>
          <w:b/>
          <w:sz w:val="24"/>
          <w:szCs w:val="24"/>
        </w:rPr>
        <w:t>Контактная информация:</w:t>
      </w:r>
      <w:bookmarkEnd w:id="3"/>
    </w:p>
    <w:p w:rsidR="00502FCA" w:rsidRPr="00676D05" w:rsidRDefault="00502FCA" w:rsidP="00502FCA">
      <w:pPr>
        <w:pStyle w:val="2"/>
        <w:shd w:val="clear" w:color="auto" w:fill="auto"/>
        <w:spacing w:before="0" w:after="0" w:line="240" w:lineRule="auto"/>
        <w:ind w:left="284" w:right="20" w:firstLine="0"/>
        <w:jc w:val="both"/>
        <w:rPr>
          <w:rFonts w:ascii="Times New Roman" w:hAnsi="Times New Roman" w:cs="Times New Roman"/>
          <w:sz w:val="24"/>
          <w:szCs w:val="24"/>
        </w:rPr>
      </w:pPr>
      <w:bookmarkStart w:id="4" w:name="bookmark6"/>
      <w:r w:rsidRPr="00676D05">
        <w:rPr>
          <w:rFonts w:ascii="Times New Roman" w:hAnsi="Times New Roman" w:cs="Times New Roman"/>
          <w:sz w:val="24"/>
          <w:szCs w:val="24"/>
        </w:rPr>
        <w:t xml:space="preserve">Для решения организационных, технических и коммерческих вопросов: </w:t>
      </w:r>
    </w:p>
    <w:p w:rsidR="00502FCA" w:rsidRPr="00676D05" w:rsidRDefault="00502FCA" w:rsidP="00502FCA">
      <w:pPr>
        <w:pStyle w:val="2"/>
        <w:shd w:val="clear" w:color="auto" w:fill="auto"/>
        <w:spacing w:before="0" w:after="0" w:line="240" w:lineRule="auto"/>
        <w:ind w:left="284" w:right="20" w:firstLine="0"/>
        <w:jc w:val="both"/>
        <w:rPr>
          <w:rFonts w:ascii="Times New Roman" w:hAnsi="Times New Roman" w:cs="Times New Roman"/>
          <w:sz w:val="24"/>
          <w:szCs w:val="24"/>
        </w:rPr>
      </w:pPr>
      <w:r>
        <w:rPr>
          <w:rFonts w:ascii="Times New Roman" w:hAnsi="Times New Roman" w:cs="Times New Roman"/>
          <w:sz w:val="24"/>
          <w:szCs w:val="24"/>
        </w:rPr>
        <w:t>Менеджер по закупкам</w:t>
      </w:r>
      <w:r w:rsidRPr="00676D05">
        <w:rPr>
          <w:rFonts w:ascii="Times New Roman" w:hAnsi="Times New Roman" w:cs="Times New Roman"/>
          <w:sz w:val="24"/>
          <w:szCs w:val="24"/>
        </w:rPr>
        <w:t xml:space="preserve">, </w:t>
      </w:r>
      <w:r>
        <w:rPr>
          <w:rFonts w:ascii="Times New Roman" w:hAnsi="Times New Roman" w:cs="Times New Roman"/>
          <w:sz w:val="24"/>
          <w:szCs w:val="24"/>
        </w:rPr>
        <w:t>Копылевский Алексей</w:t>
      </w:r>
      <w:r w:rsidRPr="00676D05">
        <w:rPr>
          <w:rFonts w:ascii="Times New Roman" w:hAnsi="Times New Roman" w:cs="Times New Roman"/>
          <w:sz w:val="24"/>
          <w:szCs w:val="24"/>
        </w:rPr>
        <w:t xml:space="preserve"> </w:t>
      </w:r>
    </w:p>
    <w:p w:rsidR="00502FCA" w:rsidRPr="00676D05" w:rsidRDefault="00502FCA" w:rsidP="00502FCA">
      <w:pPr>
        <w:pStyle w:val="2"/>
        <w:shd w:val="clear" w:color="auto" w:fill="auto"/>
        <w:spacing w:before="0" w:after="0" w:line="240" w:lineRule="auto"/>
        <w:ind w:left="284" w:right="20" w:firstLine="0"/>
        <w:jc w:val="both"/>
        <w:rPr>
          <w:rFonts w:ascii="Times New Roman" w:hAnsi="Times New Roman" w:cs="Times New Roman"/>
          <w:sz w:val="24"/>
          <w:szCs w:val="24"/>
        </w:rPr>
      </w:pPr>
      <w:r w:rsidRPr="00676D05">
        <w:rPr>
          <w:rFonts w:ascii="Times New Roman" w:hAnsi="Times New Roman" w:cs="Times New Roman"/>
          <w:sz w:val="24"/>
          <w:szCs w:val="24"/>
        </w:rPr>
        <w:t>Т</w:t>
      </w:r>
      <w:r>
        <w:rPr>
          <w:rFonts w:ascii="Times New Roman" w:hAnsi="Times New Roman" w:cs="Times New Roman"/>
          <w:sz w:val="24"/>
          <w:szCs w:val="24"/>
        </w:rPr>
        <w:t>ел. +7 (495) 933-06-03 (доб. 877</w:t>
      </w:r>
      <w:r w:rsidRPr="00676D05">
        <w:rPr>
          <w:rFonts w:ascii="Times New Roman" w:hAnsi="Times New Roman" w:cs="Times New Roman"/>
          <w:sz w:val="24"/>
          <w:szCs w:val="24"/>
        </w:rPr>
        <w:t xml:space="preserve">) </w:t>
      </w:r>
    </w:p>
    <w:p w:rsidR="00502FCA" w:rsidRPr="00475CDC" w:rsidRDefault="00502FCA" w:rsidP="00502FCA">
      <w:pPr>
        <w:pStyle w:val="2"/>
        <w:shd w:val="clear" w:color="auto" w:fill="auto"/>
        <w:spacing w:before="0" w:after="0" w:line="240" w:lineRule="auto"/>
        <w:ind w:left="284" w:right="20" w:firstLine="0"/>
        <w:jc w:val="both"/>
        <w:rPr>
          <w:rFonts w:ascii="Times New Roman" w:hAnsi="Times New Roman" w:cs="Times New Roman"/>
          <w:sz w:val="24"/>
          <w:szCs w:val="24"/>
          <w:lang w:val="en-US"/>
        </w:rPr>
      </w:pPr>
      <w:r w:rsidRPr="00676D05">
        <w:rPr>
          <w:rFonts w:ascii="Times New Roman" w:hAnsi="Times New Roman" w:cs="Times New Roman"/>
          <w:sz w:val="24"/>
          <w:szCs w:val="24"/>
          <w:lang w:val="en-US"/>
        </w:rPr>
        <w:t>E</w:t>
      </w:r>
      <w:r w:rsidRPr="00BC5009">
        <w:rPr>
          <w:rFonts w:ascii="Times New Roman" w:hAnsi="Times New Roman" w:cs="Times New Roman"/>
          <w:sz w:val="24"/>
          <w:szCs w:val="24"/>
          <w:lang w:val="en-US"/>
        </w:rPr>
        <w:t>-</w:t>
      </w:r>
      <w:r w:rsidRPr="00676D05">
        <w:rPr>
          <w:rFonts w:ascii="Times New Roman" w:hAnsi="Times New Roman" w:cs="Times New Roman"/>
          <w:sz w:val="24"/>
          <w:szCs w:val="24"/>
          <w:lang w:val="en-US"/>
        </w:rPr>
        <w:t>mail</w:t>
      </w:r>
      <w:r w:rsidRPr="00BC5009">
        <w:rPr>
          <w:rFonts w:ascii="Times New Roman" w:hAnsi="Times New Roman" w:cs="Times New Roman"/>
          <w:sz w:val="24"/>
          <w:szCs w:val="24"/>
          <w:lang w:val="en-US"/>
        </w:rPr>
        <w:t xml:space="preserve">: </w:t>
      </w:r>
      <w:r w:rsidRPr="00536704">
        <w:rPr>
          <w:rFonts w:ascii="Times New Roman" w:hAnsi="Times New Roman" w:cs="Times New Roman"/>
          <w:sz w:val="24"/>
          <w:szCs w:val="24"/>
          <w:lang w:val="en-US"/>
        </w:rPr>
        <w:t>A.Kopylevskiy@avelar-solar.com</w:t>
      </w:r>
    </w:p>
    <w:p w:rsidR="00085EED" w:rsidRPr="00502FCA" w:rsidRDefault="00085EED" w:rsidP="00085EED">
      <w:pPr>
        <w:pStyle w:val="2"/>
        <w:shd w:val="clear" w:color="auto" w:fill="auto"/>
        <w:spacing w:before="0" w:after="0" w:line="240" w:lineRule="auto"/>
        <w:ind w:left="284" w:right="20" w:firstLine="0"/>
        <w:jc w:val="both"/>
        <w:rPr>
          <w:rFonts w:ascii="Times New Roman" w:hAnsi="Times New Roman" w:cs="Times New Roman"/>
          <w:sz w:val="24"/>
          <w:szCs w:val="24"/>
          <w:lang w:val="en-US"/>
        </w:rPr>
      </w:pPr>
    </w:p>
    <w:bookmarkEnd w:id="4"/>
    <w:p w:rsidR="00085EED" w:rsidRPr="00502FCA" w:rsidRDefault="00085EED" w:rsidP="00085EED">
      <w:pPr>
        <w:pStyle w:val="2"/>
        <w:shd w:val="clear" w:color="auto" w:fill="auto"/>
        <w:spacing w:before="0" w:after="0" w:line="240" w:lineRule="auto"/>
        <w:ind w:left="284" w:right="20" w:firstLine="0"/>
        <w:jc w:val="both"/>
        <w:rPr>
          <w:rFonts w:ascii="Times New Roman" w:hAnsi="Times New Roman" w:cs="Times New Roman"/>
          <w:color w:val="000000"/>
          <w:sz w:val="24"/>
          <w:szCs w:val="24"/>
          <w:lang w:val="en-US"/>
        </w:rPr>
      </w:pPr>
    </w:p>
    <w:p w:rsidR="00085EED" w:rsidRPr="00841E1A" w:rsidRDefault="00085EED" w:rsidP="00085EED">
      <w:pPr>
        <w:pStyle w:val="2"/>
        <w:shd w:val="clear" w:color="auto" w:fill="auto"/>
        <w:spacing w:before="0" w:after="0" w:line="240" w:lineRule="auto"/>
        <w:ind w:left="284" w:right="20" w:firstLine="0"/>
        <w:jc w:val="both"/>
        <w:rPr>
          <w:rFonts w:ascii="Times New Roman" w:hAnsi="Times New Roman" w:cs="Times New Roman"/>
          <w:sz w:val="24"/>
          <w:szCs w:val="24"/>
        </w:rPr>
      </w:pPr>
      <w:r w:rsidRPr="00841E1A">
        <w:rPr>
          <w:rFonts w:ascii="Times New Roman" w:hAnsi="Times New Roman" w:cs="Times New Roman"/>
          <w:color w:val="000000"/>
          <w:sz w:val="24"/>
          <w:szCs w:val="24"/>
        </w:rPr>
        <w:t xml:space="preserve">Обращаю </w:t>
      </w:r>
      <w:r w:rsidRPr="00841E1A">
        <w:rPr>
          <w:rFonts w:ascii="Times New Roman" w:hAnsi="Times New Roman" w:cs="Times New Roman"/>
          <w:sz w:val="24"/>
          <w:szCs w:val="24"/>
        </w:rPr>
        <w:t>Ваше</w:t>
      </w:r>
      <w:r w:rsidRPr="00841E1A">
        <w:rPr>
          <w:rFonts w:ascii="Times New Roman" w:hAnsi="Times New Roman" w:cs="Times New Roman"/>
          <w:color w:val="000000"/>
          <w:sz w:val="24"/>
          <w:szCs w:val="24"/>
        </w:rPr>
        <w:t xml:space="preserve"> внимание на следующие правила</w:t>
      </w:r>
      <w:r w:rsidRPr="00841E1A">
        <w:rPr>
          <w:rFonts w:ascii="Times New Roman" w:hAnsi="Times New Roman" w:cs="Times New Roman"/>
          <w:sz w:val="24"/>
          <w:szCs w:val="24"/>
        </w:rPr>
        <w:t xml:space="preserve"> подачи предложений:</w:t>
      </w:r>
    </w:p>
    <w:p w:rsidR="00085EED" w:rsidRPr="00841E1A" w:rsidRDefault="00085EED" w:rsidP="00085EED">
      <w:pPr>
        <w:pStyle w:val="2"/>
        <w:shd w:val="clear" w:color="auto" w:fill="auto"/>
        <w:spacing w:before="0" w:after="0" w:line="240" w:lineRule="auto"/>
        <w:ind w:left="284" w:right="20" w:firstLine="0"/>
        <w:jc w:val="both"/>
        <w:rPr>
          <w:rFonts w:ascii="Times New Roman" w:hAnsi="Times New Roman" w:cs="Times New Roman"/>
          <w:sz w:val="24"/>
          <w:szCs w:val="24"/>
        </w:rPr>
      </w:pPr>
    </w:p>
    <w:p w:rsidR="005F4BF6" w:rsidRPr="0004349C" w:rsidRDefault="005F4BF6" w:rsidP="005F4BF6">
      <w:pPr>
        <w:numPr>
          <w:ilvl w:val="0"/>
          <w:numId w:val="3"/>
        </w:numPr>
        <w:autoSpaceDE w:val="0"/>
        <w:autoSpaceDN w:val="0"/>
        <w:adjustRightInd w:val="0"/>
        <w:ind w:left="1418" w:hanging="284"/>
        <w:jc w:val="both"/>
      </w:pPr>
      <w:r w:rsidRPr="0004349C">
        <w:t>В приложенной форме ТКП (предложение) уже внесены позиции и кол-во необходимой закупки, менять последовательность размещения позиций запрещается;</w:t>
      </w:r>
    </w:p>
    <w:p w:rsidR="005F4BF6" w:rsidRPr="0004349C" w:rsidRDefault="005F4BF6" w:rsidP="005F4BF6">
      <w:pPr>
        <w:numPr>
          <w:ilvl w:val="0"/>
          <w:numId w:val="3"/>
        </w:numPr>
        <w:autoSpaceDE w:val="0"/>
        <w:autoSpaceDN w:val="0"/>
        <w:adjustRightInd w:val="0"/>
        <w:ind w:left="1418" w:hanging="284"/>
        <w:jc w:val="both"/>
      </w:pPr>
      <w:r w:rsidRPr="0004349C">
        <w:t>Участник тендера</w:t>
      </w:r>
      <w:r>
        <w:t xml:space="preserve">, в качестве приложения к ТКП, </w:t>
      </w:r>
      <w:r w:rsidRPr="0004349C">
        <w:t xml:space="preserve">указывает </w:t>
      </w:r>
      <w:r>
        <w:t xml:space="preserve">детальную разбивку </w:t>
      </w:r>
      <w:r w:rsidRPr="0004349C">
        <w:t>стоимост</w:t>
      </w:r>
      <w:r>
        <w:t>и</w:t>
      </w:r>
      <w:r w:rsidRPr="0004349C">
        <w:t xml:space="preserve"> каждой предлагаемой единицы;</w:t>
      </w:r>
    </w:p>
    <w:p w:rsidR="005F4BF6" w:rsidRPr="0004349C" w:rsidRDefault="005F4BF6" w:rsidP="005F4BF6">
      <w:pPr>
        <w:numPr>
          <w:ilvl w:val="0"/>
          <w:numId w:val="3"/>
        </w:numPr>
        <w:autoSpaceDE w:val="0"/>
        <w:autoSpaceDN w:val="0"/>
        <w:adjustRightInd w:val="0"/>
        <w:ind w:left="1418" w:hanging="284"/>
        <w:jc w:val="both"/>
      </w:pPr>
      <w:r w:rsidRPr="0004349C">
        <w:t>Цены</w:t>
      </w:r>
      <w:r w:rsidR="00071F51">
        <w:t xml:space="preserve"> за единицы указываются в Тенге (</w:t>
      </w:r>
      <w:r w:rsidR="00071F51">
        <w:rPr>
          <w:lang w:val="en-US"/>
        </w:rPr>
        <w:t>KZT</w:t>
      </w:r>
      <w:r w:rsidR="00071F51">
        <w:t>)</w:t>
      </w:r>
      <w:r w:rsidRPr="0004349C">
        <w:t xml:space="preserve"> </w:t>
      </w:r>
      <w:r>
        <w:t>без</w:t>
      </w:r>
      <w:r w:rsidRPr="0004349C">
        <w:t xml:space="preserve"> НДС;</w:t>
      </w:r>
    </w:p>
    <w:p w:rsidR="005F4BF6" w:rsidRPr="0004349C" w:rsidRDefault="005F4BF6" w:rsidP="005F4BF6">
      <w:pPr>
        <w:numPr>
          <w:ilvl w:val="0"/>
          <w:numId w:val="3"/>
        </w:numPr>
        <w:autoSpaceDE w:val="0"/>
        <w:autoSpaceDN w:val="0"/>
        <w:adjustRightInd w:val="0"/>
        <w:ind w:left="1418" w:hanging="284"/>
        <w:jc w:val="both"/>
      </w:pPr>
      <w:r w:rsidRPr="0004349C">
        <w:t xml:space="preserve">При направлении </w:t>
      </w:r>
      <w:r>
        <w:t xml:space="preserve">Коммерческого </w:t>
      </w:r>
      <w:r w:rsidRPr="0004349C">
        <w:t xml:space="preserve">предложения необходимо прикладывать электронную версию предложения в формате </w:t>
      </w:r>
      <w:r w:rsidRPr="0004349C">
        <w:rPr>
          <w:lang w:val="en-US"/>
        </w:rPr>
        <w:t>Excel</w:t>
      </w:r>
      <w:r>
        <w:t>, вместе с сопроводительным письмом Участника конкурса, подписанного уполномоченным лицом и заверенного печатью компании</w:t>
      </w:r>
      <w:r w:rsidRPr="0004349C">
        <w:t>;</w:t>
      </w:r>
    </w:p>
    <w:p w:rsidR="005F4BF6" w:rsidRPr="0004349C" w:rsidRDefault="005F4BF6" w:rsidP="005F4BF6">
      <w:pPr>
        <w:numPr>
          <w:ilvl w:val="0"/>
          <w:numId w:val="3"/>
        </w:numPr>
        <w:autoSpaceDE w:val="0"/>
        <w:autoSpaceDN w:val="0"/>
        <w:adjustRightInd w:val="0"/>
        <w:ind w:left="1418" w:hanging="284"/>
        <w:jc w:val="both"/>
      </w:pPr>
      <w:r w:rsidRPr="0004349C">
        <w:t>В случае условий оплаты в виде аванса, обязательным условием является предоставление банковской гарантии;</w:t>
      </w:r>
    </w:p>
    <w:p w:rsidR="00BF682D" w:rsidRDefault="005F4BF6" w:rsidP="00A52FDC">
      <w:pPr>
        <w:numPr>
          <w:ilvl w:val="0"/>
          <w:numId w:val="3"/>
        </w:numPr>
        <w:autoSpaceDE w:val="0"/>
        <w:autoSpaceDN w:val="0"/>
        <w:adjustRightInd w:val="0"/>
        <w:ind w:left="1418" w:hanging="284"/>
        <w:jc w:val="both"/>
      </w:pPr>
      <w:r>
        <w:t>Подрядчик, вместе с ТКП предоставляет информацию о себе</w:t>
      </w:r>
      <w:r w:rsidR="00BF41F6">
        <w:t>, включая информацию об обязат</w:t>
      </w:r>
      <w:r w:rsidR="00A52FDC">
        <w:t>ельных сведениях (Приложение 2.1</w:t>
      </w:r>
      <w:r w:rsidR="00BF41F6">
        <w:t>)</w:t>
      </w:r>
      <w:r>
        <w:t xml:space="preserve">, а также информацию об </w:t>
      </w:r>
      <w:r w:rsidRPr="002C5FC2">
        <w:t>успешно реализованных</w:t>
      </w:r>
      <w:r>
        <w:t xml:space="preserve"> аналогичных Проектах</w:t>
      </w:r>
      <w:r w:rsidR="007620A8">
        <w:t>.</w:t>
      </w:r>
      <w:r w:rsidR="00085EED" w:rsidRPr="00841E1A">
        <w:tab/>
      </w:r>
    </w:p>
    <w:sectPr w:rsidR="00BF682D" w:rsidSect="002E3FBD">
      <w:headerReference w:type="default" r:id="rId10"/>
      <w:footerReference w:type="default" r:id="rId11"/>
      <w:pgSz w:w="11906" w:h="16838"/>
      <w:pgMar w:top="1134" w:right="567" w:bottom="851" w:left="1134"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5A" w:rsidRDefault="007B355A" w:rsidP="00E92936">
      <w:r>
        <w:separator/>
      </w:r>
    </w:p>
  </w:endnote>
  <w:endnote w:type="continuationSeparator" w:id="0">
    <w:p w:rsidR="007B355A" w:rsidRDefault="007B355A" w:rsidP="00E9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1701"/>
      <w:gridCol w:w="2268"/>
    </w:tblGrid>
    <w:tr w:rsidR="005D5E3D" w:rsidRPr="00833107" w:rsidTr="005D5E3D">
      <w:trPr>
        <w:trHeight w:hRule="exact" w:val="851"/>
      </w:trPr>
      <w:tc>
        <w:tcPr>
          <w:tcW w:w="6237" w:type="dxa"/>
        </w:tcPr>
        <w:p w:rsidR="005D5E3D" w:rsidRPr="00833107" w:rsidRDefault="005D5E3D" w:rsidP="00833107">
          <w:pPr>
            <w:tabs>
              <w:tab w:val="center" w:pos="4677"/>
              <w:tab w:val="right" w:pos="9355"/>
            </w:tabs>
            <w:rPr>
              <w:rFonts w:eastAsiaTheme="minorHAnsi"/>
              <w:i/>
              <w:sz w:val="20"/>
              <w:szCs w:val="20"/>
              <w:lang w:eastAsia="en-US"/>
            </w:rPr>
          </w:pPr>
        </w:p>
      </w:tc>
      <w:tc>
        <w:tcPr>
          <w:tcW w:w="1701" w:type="dxa"/>
        </w:tcPr>
        <w:p w:rsidR="005D5E3D" w:rsidRPr="00833107" w:rsidRDefault="005D5E3D" w:rsidP="00833107">
          <w:pPr>
            <w:tabs>
              <w:tab w:val="center" w:pos="4677"/>
              <w:tab w:val="right" w:pos="9355"/>
            </w:tabs>
            <w:rPr>
              <w:rFonts w:asciiTheme="minorHAnsi" w:eastAsiaTheme="minorHAnsi" w:hAnsiTheme="minorHAnsi" w:cstheme="minorBidi"/>
              <w:sz w:val="22"/>
              <w:szCs w:val="22"/>
              <w:lang w:eastAsia="en-US"/>
            </w:rPr>
          </w:pPr>
        </w:p>
      </w:tc>
      <w:tc>
        <w:tcPr>
          <w:tcW w:w="2268" w:type="dxa"/>
        </w:tcPr>
        <w:p w:rsidR="005D5E3D" w:rsidRPr="00833107" w:rsidRDefault="005D5E3D" w:rsidP="00833107">
          <w:pPr>
            <w:tabs>
              <w:tab w:val="center" w:pos="4677"/>
              <w:tab w:val="right" w:pos="9355"/>
            </w:tabs>
            <w:rPr>
              <w:rFonts w:asciiTheme="minorHAnsi" w:eastAsiaTheme="minorHAnsi" w:hAnsiTheme="minorHAnsi" w:cstheme="minorBidi"/>
              <w:sz w:val="22"/>
              <w:szCs w:val="22"/>
              <w:lang w:eastAsia="en-US"/>
            </w:rPr>
          </w:pPr>
        </w:p>
      </w:tc>
    </w:tr>
  </w:tbl>
  <w:p w:rsidR="005D5E3D" w:rsidRDefault="005D5E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5A" w:rsidRDefault="007B355A" w:rsidP="00E92936">
      <w:r>
        <w:separator/>
      </w:r>
    </w:p>
  </w:footnote>
  <w:footnote w:type="continuationSeparator" w:id="0">
    <w:p w:rsidR="007B355A" w:rsidRDefault="007B355A" w:rsidP="00E92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2D" w:rsidRDefault="00BF682D" w:rsidP="004310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9BD"/>
    <w:multiLevelType w:val="hybridMultilevel"/>
    <w:tmpl w:val="8F6C8664"/>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15:restartNumberingAfterBreak="0">
    <w:nsid w:val="463938FD"/>
    <w:multiLevelType w:val="hybridMultilevel"/>
    <w:tmpl w:val="9FA2B02E"/>
    <w:lvl w:ilvl="0" w:tplc="0419000F">
      <w:start w:val="1"/>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 w15:restartNumberingAfterBreak="0">
    <w:nsid w:val="5675161A"/>
    <w:multiLevelType w:val="hybridMultilevel"/>
    <w:tmpl w:val="A28445B0"/>
    <w:lvl w:ilvl="0" w:tplc="564C0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3F1433"/>
    <w:multiLevelType w:val="multilevel"/>
    <w:tmpl w:val="5B8C7A84"/>
    <w:lvl w:ilvl="0">
      <w:start w:val="1"/>
      <w:numFmt w:val="bullet"/>
      <w:lvlText w:val="•"/>
      <w:lvlJc w:val="left"/>
      <w:pPr>
        <w:ind w:left="0" w:firstLine="0"/>
      </w:pPr>
      <w:rPr>
        <w:rFonts w:ascii="Tahoma" w:eastAsia="Times New Roman" w:hAnsi="Tahoma"/>
        <w:b w:val="0"/>
        <w:i w:val="0"/>
        <w:smallCaps w:val="0"/>
        <w:strike w:val="0"/>
        <w:dstrike w:val="0"/>
        <w:color w:val="000000"/>
        <w:spacing w:val="0"/>
        <w:w w:val="100"/>
        <w:position w:val="0"/>
        <w:sz w:val="22"/>
        <w:u w:val="none"/>
        <w:effect w:val="none"/>
      </w:rPr>
    </w:lvl>
    <w:lvl w:ilvl="1">
      <w:start w:val="1"/>
      <w:numFmt w:val="decimal"/>
      <w:lvlText w:val="%2."/>
      <w:lvlJc w:val="left"/>
      <w:pPr>
        <w:ind w:left="1134" w:firstLine="0"/>
      </w:pPr>
      <w:rPr>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36"/>
    <w:rsid w:val="00054B52"/>
    <w:rsid w:val="00071F51"/>
    <w:rsid w:val="00085EED"/>
    <w:rsid w:val="000867D2"/>
    <w:rsid w:val="000C4AEA"/>
    <w:rsid w:val="00101E58"/>
    <w:rsid w:val="00160587"/>
    <w:rsid w:val="00197687"/>
    <w:rsid w:val="001A1E9B"/>
    <w:rsid w:val="001E53FB"/>
    <w:rsid w:val="0021635A"/>
    <w:rsid w:val="002601E8"/>
    <w:rsid w:val="00266D87"/>
    <w:rsid w:val="00271465"/>
    <w:rsid w:val="00280587"/>
    <w:rsid w:val="002A69A1"/>
    <w:rsid w:val="002B25D6"/>
    <w:rsid w:val="002D11AE"/>
    <w:rsid w:val="002E3C5F"/>
    <w:rsid w:val="002E3FBD"/>
    <w:rsid w:val="002E5CCD"/>
    <w:rsid w:val="00302AF4"/>
    <w:rsid w:val="00363B57"/>
    <w:rsid w:val="00366738"/>
    <w:rsid w:val="003C6F0A"/>
    <w:rsid w:val="00431049"/>
    <w:rsid w:val="004558AA"/>
    <w:rsid w:val="004A1810"/>
    <w:rsid w:val="004B768E"/>
    <w:rsid w:val="004E3320"/>
    <w:rsid w:val="004F1359"/>
    <w:rsid w:val="00502FCA"/>
    <w:rsid w:val="005D5E3D"/>
    <w:rsid w:val="005E56D4"/>
    <w:rsid w:val="005E6E0E"/>
    <w:rsid w:val="005F4BF6"/>
    <w:rsid w:val="005F7526"/>
    <w:rsid w:val="0060242C"/>
    <w:rsid w:val="006233C4"/>
    <w:rsid w:val="006459DB"/>
    <w:rsid w:val="00661C09"/>
    <w:rsid w:val="00687FA7"/>
    <w:rsid w:val="006C5B99"/>
    <w:rsid w:val="00723113"/>
    <w:rsid w:val="00744BA3"/>
    <w:rsid w:val="00747AC5"/>
    <w:rsid w:val="00750787"/>
    <w:rsid w:val="00756883"/>
    <w:rsid w:val="007620A8"/>
    <w:rsid w:val="007623D9"/>
    <w:rsid w:val="00787C1B"/>
    <w:rsid w:val="00791286"/>
    <w:rsid w:val="007B355A"/>
    <w:rsid w:val="0080695F"/>
    <w:rsid w:val="00833107"/>
    <w:rsid w:val="00842EE6"/>
    <w:rsid w:val="0086056C"/>
    <w:rsid w:val="008634BE"/>
    <w:rsid w:val="00874174"/>
    <w:rsid w:val="008E7CB7"/>
    <w:rsid w:val="0091592B"/>
    <w:rsid w:val="00947626"/>
    <w:rsid w:val="00975A58"/>
    <w:rsid w:val="009950DD"/>
    <w:rsid w:val="009F2F4B"/>
    <w:rsid w:val="00A52FDC"/>
    <w:rsid w:val="00B216E8"/>
    <w:rsid w:val="00B349F6"/>
    <w:rsid w:val="00B57ED2"/>
    <w:rsid w:val="00B71B8C"/>
    <w:rsid w:val="00BA2C6D"/>
    <w:rsid w:val="00BC794B"/>
    <w:rsid w:val="00BF41F6"/>
    <w:rsid w:val="00BF682D"/>
    <w:rsid w:val="00C224D7"/>
    <w:rsid w:val="00C51F69"/>
    <w:rsid w:val="00C63B9E"/>
    <w:rsid w:val="00C64613"/>
    <w:rsid w:val="00C67928"/>
    <w:rsid w:val="00E411E5"/>
    <w:rsid w:val="00E92936"/>
    <w:rsid w:val="00EA4941"/>
    <w:rsid w:val="00EC0BEC"/>
    <w:rsid w:val="00EE5F5E"/>
    <w:rsid w:val="00F62541"/>
    <w:rsid w:val="00F94706"/>
    <w:rsid w:val="00F967F1"/>
    <w:rsid w:val="00FB52D1"/>
    <w:rsid w:val="00FF6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E61B2EF"/>
  <w15:chartTrackingRefBased/>
  <w15:docId w15:val="{FCB7BE01-C4D5-4313-BD82-DAE44998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9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53FB"/>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2936"/>
    <w:pPr>
      <w:tabs>
        <w:tab w:val="center" w:pos="4677"/>
        <w:tab w:val="right" w:pos="9355"/>
      </w:tabs>
    </w:pPr>
  </w:style>
  <w:style w:type="character" w:customStyle="1" w:styleId="a4">
    <w:name w:val="Верхний колонтитул Знак"/>
    <w:basedOn w:val="a0"/>
    <w:link w:val="a3"/>
    <w:uiPriority w:val="99"/>
    <w:rsid w:val="00E92936"/>
    <w:rPr>
      <w:rFonts w:ascii="Times New Roman" w:eastAsia="Times New Roman" w:hAnsi="Times New Roman" w:cs="Times New Roman"/>
      <w:sz w:val="24"/>
      <w:szCs w:val="24"/>
      <w:lang w:eastAsia="ru-RU"/>
    </w:rPr>
  </w:style>
  <w:style w:type="table" w:styleId="a5">
    <w:name w:val="Table Grid"/>
    <w:basedOn w:val="a1"/>
    <w:rsid w:val="00E9293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
    <w:link w:val="a7"/>
    <w:uiPriority w:val="99"/>
    <w:unhideWhenUsed/>
    <w:rsid w:val="00E92936"/>
    <w:pPr>
      <w:tabs>
        <w:tab w:val="center" w:pos="4677"/>
        <w:tab w:val="right" w:pos="9355"/>
      </w:tabs>
    </w:pPr>
  </w:style>
  <w:style w:type="character" w:customStyle="1" w:styleId="a7">
    <w:name w:val="Нижний колонтитул Знак"/>
    <w:basedOn w:val="a0"/>
    <w:link w:val="a6"/>
    <w:uiPriority w:val="99"/>
    <w:rsid w:val="00E92936"/>
    <w:rPr>
      <w:rFonts w:ascii="Times New Roman" w:eastAsia="Times New Roman" w:hAnsi="Times New Roman" w:cs="Times New Roman"/>
      <w:sz w:val="24"/>
      <w:szCs w:val="24"/>
      <w:lang w:eastAsia="ru-RU"/>
    </w:rPr>
  </w:style>
  <w:style w:type="paragraph" w:styleId="a8">
    <w:name w:val="List Paragraph"/>
    <w:basedOn w:val="a"/>
    <w:uiPriority w:val="34"/>
    <w:qFormat/>
    <w:rsid w:val="00366738"/>
    <w:pPr>
      <w:ind w:left="720"/>
      <w:contextualSpacing/>
    </w:pPr>
  </w:style>
  <w:style w:type="character" w:styleId="a9">
    <w:name w:val="Hyperlink"/>
    <w:basedOn w:val="a0"/>
    <w:uiPriority w:val="99"/>
    <w:unhideWhenUsed/>
    <w:rsid w:val="003C6F0A"/>
    <w:rPr>
      <w:color w:val="0563C1" w:themeColor="hyperlink"/>
      <w:u w:val="single"/>
    </w:rPr>
  </w:style>
  <w:style w:type="character" w:customStyle="1" w:styleId="10">
    <w:name w:val="Заголовок 1 Знак"/>
    <w:basedOn w:val="a0"/>
    <w:link w:val="1"/>
    <w:uiPriority w:val="9"/>
    <w:rsid w:val="001E53FB"/>
    <w:rPr>
      <w:rFonts w:asciiTheme="majorHAnsi" w:eastAsiaTheme="majorEastAsia" w:hAnsiTheme="majorHAnsi" w:cstheme="majorBidi"/>
      <w:color w:val="2E74B5" w:themeColor="accent1" w:themeShade="BF"/>
      <w:sz w:val="32"/>
      <w:szCs w:val="32"/>
      <w:lang w:eastAsia="ru-RU"/>
    </w:rPr>
  </w:style>
  <w:style w:type="table" w:customStyle="1" w:styleId="11">
    <w:name w:val="Сетка таблицы1"/>
    <w:basedOn w:val="a1"/>
    <w:next w:val="a5"/>
    <w:uiPriority w:val="39"/>
    <w:rsid w:val="00833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link w:val="2"/>
    <w:locked/>
    <w:rsid w:val="006459DB"/>
    <w:rPr>
      <w:rFonts w:ascii="Tahoma" w:hAnsi="Tahoma" w:cs="Tahoma"/>
      <w:sz w:val="23"/>
      <w:shd w:val="clear" w:color="auto" w:fill="FFFFFF"/>
    </w:rPr>
  </w:style>
  <w:style w:type="paragraph" w:customStyle="1" w:styleId="2">
    <w:name w:val="Основной текст2"/>
    <w:basedOn w:val="a"/>
    <w:link w:val="aa"/>
    <w:rsid w:val="006459DB"/>
    <w:pPr>
      <w:shd w:val="clear" w:color="auto" w:fill="FFFFFF"/>
      <w:spacing w:before="240" w:after="360" w:line="240" w:lineRule="atLeast"/>
      <w:ind w:hanging="400"/>
    </w:pPr>
    <w:rPr>
      <w:rFonts w:ascii="Tahoma" w:eastAsiaTheme="minorHAnsi" w:hAnsi="Tahoma" w:cs="Tahoma"/>
      <w:sz w:val="23"/>
      <w:szCs w:val="22"/>
      <w:lang w:eastAsia="en-US"/>
    </w:rPr>
  </w:style>
  <w:style w:type="character" w:customStyle="1" w:styleId="20">
    <w:name w:val="Заголовок №2_"/>
    <w:link w:val="21"/>
    <w:locked/>
    <w:rsid w:val="006459DB"/>
    <w:rPr>
      <w:rFonts w:ascii="Tahoma" w:hAnsi="Tahoma" w:cs="Tahoma"/>
      <w:sz w:val="23"/>
      <w:shd w:val="clear" w:color="auto" w:fill="FFFFFF"/>
    </w:rPr>
  </w:style>
  <w:style w:type="paragraph" w:customStyle="1" w:styleId="21">
    <w:name w:val="Заголовок №2"/>
    <w:basedOn w:val="a"/>
    <w:link w:val="20"/>
    <w:rsid w:val="006459DB"/>
    <w:pPr>
      <w:shd w:val="clear" w:color="auto" w:fill="FFFFFF"/>
      <w:spacing w:before="360" w:after="240" w:line="240" w:lineRule="atLeast"/>
      <w:outlineLvl w:val="1"/>
    </w:pPr>
    <w:rPr>
      <w:rFonts w:ascii="Tahoma" w:eastAsiaTheme="minorHAnsi" w:hAnsi="Tahoma" w:cs="Tahoma"/>
      <w:sz w:val="23"/>
      <w:szCs w:val="22"/>
      <w:lang w:eastAsia="en-US"/>
    </w:rPr>
  </w:style>
  <w:style w:type="character" w:customStyle="1" w:styleId="3">
    <w:name w:val="Заголовок №3_"/>
    <w:link w:val="30"/>
    <w:locked/>
    <w:rsid w:val="006459DB"/>
    <w:rPr>
      <w:rFonts w:ascii="Tahoma" w:hAnsi="Tahoma" w:cs="Tahoma"/>
      <w:shd w:val="clear" w:color="auto" w:fill="FFFFFF"/>
    </w:rPr>
  </w:style>
  <w:style w:type="paragraph" w:customStyle="1" w:styleId="30">
    <w:name w:val="Заголовок №3"/>
    <w:basedOn w:val="a"/>
    <w:link w:val="3"/>
    <w:rsid w:val="006459DB"/>
    <w:pPr>
      <w:shd w:val="clear" w:color="auto" w:fill="FFFFFF"/>
      <w:spacing w:after="180" w:line="240" w:lineRule="atLeast"/>
      <w:ind w:hanging="300"/>
      <w:jc w:val="both"/>
      <w:outlineLvl w:val="2"/>
    </w:pPr>
    <w:rPr>
      <w:rFonts w:ascii="Tahoma" w:eastAsiaTheme="minorHAnsi" w:hAnsi="Tahoma" w:cs="Tahoma"/>
      <w:sz w:val="22"/>
      <w:szCs w:val="22"/>
      <w:lang w:eastAsia="en-US"/>
    </w:rPr>
  </w:style>
  <w:style w:type="paragraph" w:styleId="ab">
    <w:name w:val="Balloon Text"/>
    <w:basedOn w:val="a"/>
    <w:link w:val="ac"/>
    <w:uiPriority w:val="99"/>
    <w:semiHidden/>
    <w:unhideWhenUsed/>
    <w:rsid w:val="004558AA"/>
    <w:rPr>
      <w:rFonts w:ascii="Segoe UI" w:hAnsi="Segoe UI" w:cs="Segoe UI"/>
      <w:sz w:val="18"/>
      <w:szCs w:val="18"/>
    </w:rPr>
  </w:style>
  <w:style w:type="character" w:customStyle="1" w:styleId="ac">
    <w:name w:val="Текст выноски Знак"/>
    <w:basedOn w:val="a0"/>
    <w:link w:val="ab"/>
    <w:uiPriority w:val="99"/>
    <w:semiHidden/>
    <w:rsid w:val="004558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avelar-sol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s@avelar-sola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E515-967D-45C4-B42B-AE163156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Zaytseva Natalia</dc:creator>
  <cp:keywords/>
  <dc:description/>
  <cp:lastModifiedBy>Kopylevskiy Aleksey</cp:lastModifiedBy>
  <cp:revision>21</cp:revision>
  <cp:lastPrinted>2018-03-16T08:47:00Z</cp:lastPrinted>
  <dcterms:created xsi:type="dcterms:W3CDTF">2018-02-06T07:26:00Z</dcterms:created>
  <dcterms:modified xsi:type="dcterms:W3CDTF">2018-11-30T11:39:00Z</dcterms:modified>
</cp:coreProperties>
</file>